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EB6B" w14:textId="77777777" w:rsidR="003C2E79" w:rsidRDefault="00000000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Priprema za prvi pismeni ispit (Skup realnih brojeva)</w:t>
      </w:r>
    </w:p>
    <w:p w14:paraId="732F32CC" w14:textId="77777777" w:rsidR="003C2E79" w:rsidRDefault="003C2E79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3C2E79" w14:paraId="592E1BDA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CAE86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Odredi zbroj prvih 200 prirodnih brojeva.</w:t>
            </w:r>
          </w:p>
          <w:p w14:paraId="0580329C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2223BC1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65B0D9E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E262A35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5EAC2EFC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F69EA" w14:textId="77777777" w:rsidR="003C2E79" w:rsidRDefault="00000000">
            <w:pPr>
              <w:pStyle w:val="TableContents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Zbroj četiri uzastopna parna broja iznosi 84. Odredi najmanji među njima.</w:t>
            </w:r>
          </w:p>
          <w:p w14:paraId="73BF092D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2CFF505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EF7630E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3A010AA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318860BB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362AD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Obitelj, koju čine dvoje roditelja i troje djece od 15.5 godina, 6 godina i 11 mjeseci, došla je na kupanje i ručak u toplice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Topla voda</w:t>
            </w:r>
            <w:r>
              <w:rPr>
                <w:rFonts w:ascii="Arial" w:hAnsi="Arial" w:cs="Arial"/>
                <w:sz w:val="22"/>
                <w:szCs w:val="22"/>
              </w:rPr>
              <w:t>. Na ulazu stoji cjenik ulaznica:</w:t>
            </w:r>
          </w:p>
          <w:p w14:paraId="473D3441" w14:textId="77777777" w:rsidR="003C2E79" w:rsidRDefault="00000000">
            <w:pPr>
              <w:pStyle w:val="TableContents"/>
              <w:numPr>
                <w:ilvl w:val="1"/>
                <w:numId w:val="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Ulaznica (odrasli) ... 75 kn</w:t>
            </w:r>
          </w:p>
          <w:p w14:paraId="120A7E4D" w14:textId="77777777" w:rsidR="003C2E79" w:rsidRDefault="00000000">
            <w:pPr>
              <w:pStyle w:val="TableContents"/>
              <w:numPr>
                <w:ilvl w:val="1"/>
                <w:numId w:val="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Ulaznica (dijete 6 – 15 godina) ... 50 kn</w:t>
            </w:r>
          </w:p>
          <w:p w14:paraId="379C1DE6" w14:textId="77777777" w:rsidR="003C2E79" w:rsidRDefault="00000000">
            <w:pPr>
              <w:pStyle w:val="TableContents"/>
              <w:numPr>
                <w:ilvl w:val="1"/>
                <w:numId w:val="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Ulaznica + ručak (odrasli) ... 120 kn</w:t>
            </w:r>
          </w:p>
          <w:p w14:paraId="7B33D6CB" w14:textId="77777777" w:rsidR="003C2E79" w:rsidRDefault="00000000">
            <w:pPr>
              <w:pStyle w:val="TableContents"/>
              <w:numPr>
                <w:ilvl w:val="1"/>
                <w:numId w:val="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Ulaznica + ručak (dijete 6 – 15 godina) ... 90 kn</w:t>
            </w:r>
          </w:p>
          <w:p w14:paraId="0EC42C93" w14:textId="77777777" w:rsidR="003C2E79" w:rsidRDefault="00000000">
            <w:pPr>
              <w:pStyle w:val="TableContents"/>
              <w:numPr>
                <w:ilvl w:val="1"/>
                <w:numId w:val="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Obiteljska ulaznica (roditelji + 2 djece) ... 215 kn</w:t>
            </w:r>
          </w:p>
          <w:p w14:paraId="16EEBC93" w14:textId="77777777" w:rsidR="003C2E79" w:rsidRDefault="00000000">
            <w:pPr>
              <w:pStyle w:val="TableContents"/>
              <w:numPr>
                <w:ilvl w:val="1"/>
                <w:numId w:val="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Obiteljska ulaznica (roditelji + 3 djece) ... 255 kn</w:t>
            </w:r>
          </w:p>
          <w:p w14:paraId="5FC51D94" w14:textId="77777777" w:rsidR="003C2E79" w:rsidRDefault="00000000">
            <w:pPr>
              <w:pStyle w:val="TableContents"/>
              <w:numPr>
                <w:ilvl w:val="1"/>
                <w:numId w:val="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Ulaznice + ručak (roditelji + 2 djece) ... 355 kn</w:t>
            </w:r>
          </w:p>
          <w:p w14:paraId="280CB03A" w14:textId="77777777" w:rsidR="003C2E79" w:rsidRDefault="00000000">
            <w:pPr>
              <w:pStyle w:val="TableContents"/>
              <w:numPr>
                <w:ilvl w:val="1"/>
                <w:numId w:val="3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Ulaznice + ručak (roditelji + 3 djece) ... 400 kn</w:t>
            </w:r>
          </w:p>
          <w:p w14:paraId="09D16569" w14:textId="77777777" w:rsidR="003C2E79" w:rsidRDefault="00000000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412C136F" w14:textId="77777777" w:rsidR="003C2E79" w:rsidRDefault="0000000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te cjenik hrane u restoranu:</w:t>
            </w:r>
          </w:p>
          <w:p w14:paraId="52F25C32" w14:textId="77777777" w:rsidR="003C2E79" w:rsidRDefault="00000000">
            <w:pPr>
              <w:pStyle w:val="TableContents"/>
              <w:numPr>
                <w:ilvl w:val="1"/>
                <w:numId w:val="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Dnevni meni ... 55 kn</w:t>
            </w:r>
          </w:p>
          <w:p w14:paraId="36C7BFF5" w14:textId="77777777" w:rsidR="003C2E79" w:rsidRDefault="00000000">
            <w:pPr>
              <w:pStyle w:val="TableContents"/>
              <w:numPr>
                <w:ilvl w:val="1"/>
                <w:numId w:val="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Obiteljski meni (roditelji + 2 djece) ... 200 kn</w:t>
            </w:r>
          </w:p>
          <w:p w14:paraId="281BF305" w14:textId="77777777" w:rsidR="003C2E79" w:rsidRDefault="00000000">
            <w:pPr>
              <w:pStyle w:val="TableContents"/>
              <w:numPr>
                <w:ilvl w:val="1"/>
                <w:numId w:val="4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Obiteljski meni (roditelji + 3 djece) ... 240 kn</w:t>
            </w:r>
          </w:p>
          <w:p w14:paraId="5346D890" w14:textId="77777777" w:rsidR="003C2E79" w:rsidRDefault="00000000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5FEEECAB" w14:textId="77777777" w:rsidR="003C2E79" w:rsidRDefault="00000000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Koliko će obitelj uštedjeti ako, umjesto pojedinačnih, uzme obiteljsku</w:t>
            </w:r>
          </w:p>
          <w:p w14:paraId="6BFA4C96" w14:textId="77777777" w:rsidR="003C2E79" w:rsidRDefault="00000000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ulaznicu, ali ručak plati zasebno za svakog člana?</w:t>
            </w:r>
          </w:p>
          <w:p w14:paraId="7C5908FB" w14:textId="77777777" w:rsidR="003C2E79" w:rsidRDefault="00000000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Koliko će obitelj uštedjeti ako, umjesto pojedinačnih, uzme obiteljsku</w:t>
            </w:r>
          </w:p>
          <w:p w14:paraId="7EBA7400" w14:textId="77777777" w:rsidR="003C2E79" w:rsidRDefault="00000000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ulaznicu, a za ručak obiteljski meni?</w:t>
            </w:r>
          </w:p>
          <w:p w14:paraId="520116B7" w14:textId="77777777" w:rsidR="003C2E79" w:rsidRDefault="00000000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 Koliko će obitelj uštedjeti ako, odmah na ulazu, plati obiteljsku ulaznicu i</w:t>
            </w:r>
          </w:p>
          <w:p w14:paraId="0ED147EB" w14:textId="77777777" w:rsidR="003C2E79" w:rsidRDefault="00000000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ručak?</w:t>
            </w:r>
          </w:p>
          <w:p w14:paraId="0DC0C942" w14:textId="77777777" w:rsidR="003C2E79" w:rsidRDefault="003C2E79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</w:p>
          <w:p w14:paraId="37F59602" w14:textId="77777777" w:rsidR="003C2E79" w:rsidRDefault="003C2E79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</w:p>
          <w:p w14:paraId="6388AAEF" w14:textId="77777777" w:rsidR="003C2E79" w:rsidRDefault="003C2E79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</w:p>
          <w:p w14:paraId="0D12755C" w14:textId="77777777" w:rsidR="003C2E79" w:rsidRDefault="003C2E79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</w:p>
          <w:p w14:paraId="182CF86E" w14:textId="77777777" w:rsidR="003C2E79" w:rsidRDefault="003C2E79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</w:p>
          <w:p w14:paraId="10435BAC" w14:textId="77777777" w:rsidR="003C2E79" w:rsidRDefault="003C2E79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</w:p>
          <w:p w14:paraId="03208272" w14:textId="77777777" w:rsidR="003C2E79" w:rsidRDefault="003C2E79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</w:p>
          <w:p w14:paraId="1139024B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319B789" w14:textId="77777777" w:rsidR="003C2E79" w:rsidRDefault="003C2E79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</w:p>
          <w:p w14:paraId="1CA2EDC5" w14:textId="77777777" w:rsidR="003C2E79" w:rsidRDefault="003C2E79">
            <w:pPr>
              <w:pStyle w:val="TableContents"/>
              <w:ind w:left="76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6468F976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3A852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U humanitarnoj akciji u školi sakupljeno je 60 knjiga, 144 olovaka i 84 gumice. Podijeli te predmete u (brojčano) jednake pakete.</w:t>
            </w:r>
          </w:p>
          <w:p w14:paraId="398D2915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76DD58E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BA69B00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19536ED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0CC9DDAA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71C21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U istoj sobi leže tri bolesnika. Bolesnik A dobiva lijek svaka 4 sata, bolesnik B svakih 8 sati, a bolesnik C svakih 12 sati. U 6 sati sva su trojica popila svoj lijek. U koliko će sati opet sva trojica istovremeno popiti lijek?</w:t>
            </w:r>
          </w:p>
          <w:p w14:paraId="1F3EE5EC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B075099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2ABCA75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382D248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06B9D47B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97D81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Oporukom je Marija naslijedila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24</m:t>
                  </m:r>
                </m:den>
              </m:f>
            </m:oMath>
            <w:r>
              <w:rPr>
                <w:rFonts w:ascii="Arial" w:hAnsi="Arial" w:cs="Arial"/>
                <w:sz w:val="22"/>
                <w:szCs w:val="22"/>
              </w:rPr>
              <w:t xml:space="preserve">, Ana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18</m:t>
                  </m:r>
                </m:den>
              </m:f>
            </m:oMath>
            <w:r>
              <w:rPr>
                <w:rFonts w:ascii="Arial" w:hAnsi="Arial" w:cs="Arial"/>
                <w:sz w:val="22"/>
                <w:szCs w:val="22"/>
              </w:rPr>
              <w:t xml:space="preserve">, a Iva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>
              <w:rPr>
                <w:rFonts w:ascii="Arial" w:hAnsi="Arial" w:cs="Arial"/>
                <w:sz w:val="22"/>
                <w:szCs w:val="22"/>
              </w:rPr>
              <w:t xml:space="preserve"> nasljedstva. Ostatak nasljedstva darovan je u dobrotvorne svrhe. Koliki je dio nasljedstva darovan?</w:t>
            </w:r>
          </w:p>
          <w:p w14:paraId="196080ED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63ECD61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259CE71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A519479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2727ADF3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92317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Odredi 2 racionalna broja koji se nalaze između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8 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 5</m:t>
                  </m:r>
                </m:den>
              </m:f>
            </m:oMath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63E9DF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90FD28C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F0D2A15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714770B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039BA607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90BA9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Poredaj po veličini (od najmanjeg ka najvećem) brojeve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-2.4</m:t>
              </m:r>
            </m:oMath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0</m:t>
              </m:r>
            </m:oMath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4</m:t>
              </m:r>
            </m:oMath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5.2</m:t>
              </m:r>
            </m:oMath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m:oMath>
              <m:r>
                <w:rPr>
                  <w:rFonts w:ascii="Cambria Math" w:hAnsi="Cambria Math"/>
                </w:rPr>
                <m:t>-3</m:t>
              </m:r>
            </m:oMath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5117B4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3072EE7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59F3DF0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9182149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DC1EC86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343581E2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D09C0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Popuni tablicu:</w:t>
            </w:r>
          </w:p>
          <w:tbl>
            <w:tblPr>
              <w:tblW w:w="9496" w:type="dxa"/>
              <w:tblInd w:w="3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57"/>
              <w:gridCol w:w="1192"/>
              <w:gridCol w:w="1191"/>
              <w:gridCol w:w="1191"/>
              <w:gridCol w:w="1192"/>
              <w:gridCol w:w="1191"/>
              <w:gridCol w:w="1192"/>
              <w:gridCol w:w="1190"/>
            </w:tblGrid>
            <w:tr w:rsidR="003C2E79" w14:paraId="3C479E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1ABCEDD" w14:textId="77777777" w:rsidR="003C2E79" w:rsidRDefault="00000000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Razlomak</w:t>
                  </w:r>
                </w:p>
              </w:tc>
              <w:tc>
                <w:tcPr>
                  <w:tcW w:w="11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72BAC09" w14:textId="77777777" w:rsidR="003C2E79" w:rsidRDefault="003C2E79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1738E24" w14:textId="77777777" w:rsidR="003C2E79" w:rsidRDefault="00000000">
                  <w:pPr>
                    <w:pStyle w:val="TableContents"/>
                    <w:jc w:val="center"/>
                  </w:pPr>
                  <m:oMathPara>
                    <m:oMathParaPr>
                      <m:jc m:val="center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1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920CFBF" w14:textId="77777777" w:rsidR="003C2E79" w:rsidRDefault="003C2E79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ACEB5F8" w14:textId="77777777" w:rsidR="003C2E79" w:rsidRDefault="00000000">
                  <w:pPr>
                    <w:pStyle w:val="TableContents"/>
                    <w:jc w:val="center"/>
                  </w:pPr>
                  <m:oMathPara>
                    <m:oMathParaPr>
                      <m:jc m:val="center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1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727ADEE" w14:textId="77777777" w:rsidR="003C2E79" w:rsidRDefault="003C2E79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8485E33" w14:textId="77777777" w:rsidR="003C2E79" w:rsidRDefault="00000000">
                  <w:pPr>
                    <w:pStyle w:val="TableContents"/>
                    <w:jc w:val="center"/>
                  </w:pPr>
                  <m:oMathPara>
                    <m:oMathParaPr>
                      <m:jc m:val="center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1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B52A318" w14:textId="77777777" w:rsidR="003C2E79" w:rsidRDefault="003C2E79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C2E79" w14:paraId="6995DD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57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285F88A" w14:textId="77777777" w:rsidR="003C2E79" w:rsidRDefault="00000000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Decimalni zapis</w:t>
                  </w:r>
                </w:p>
              </w:tc>
              <w:tc>
                <w:tcPr>
                  <w:tcW w:w="119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89C8DFE" w14:textId="77777777" w:rsidR="003C2E79" w:rsidRDefault="00000000">
                  <w:pPr>
                    <w:pStyle w:val="TableContents"/>
                    <w:jc w:val="center"/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</w:rPr>
                        <m:t>0.3</m:t>
                      </m:r>
                    </m:oMath>
                  </m:oMathPara>
                </w:p>
              </w:tc>
              <w:tc>
                <w:tcPr>
                  <w:tcW w:w="119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900042A" w14:textId="77777777" w:rsidR="003C2E79" w:rsidRDefault="003C2E79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9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0ACB69F" w14:textId="77777777" w:rsidR="003C2E79" w:rsidRDefault="00000000">
                  <w:pPr>
                    <w:pStyle w:val="TableContents"/>
                    <w:jc w:val="center"/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</w:rPr>
                        <m:t>1.3</m:t>
                      </m:r>
                    </m:oMath>
                  </m:oMathPara>
                </w:p>
              </w:tc>
              <w:tc>
                <w:tcPr>
                  <w:tcW w:w="119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CE6B2E0" w14:textId="77777777" w:rsidR="003C2E79" w:rsidRDefault="003C2E79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9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9690F4B" w14:textId="77777777" w:rsidR="003C2E79" w:rsidRDefault="00000000">
                  <w:pPr>
                    <w:pStyle w:val="TableContents"/>
                    <w:jc w:val="center"/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</w:rPr>
                        <m:t>0.0</m:t>
                      </m:r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119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E7C9ADE" w14:textId="77777777" w:rsidR="003C2E79" w:rsidRDefault="003C2E79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9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D4E22B1" w14:textId="77777777" w:rsidR="003C2E79" w:rsidRDefault="00000000">
                  <w:pPr>
                    <w:pStyle w:val="TableContents"/>
                    <w:jc w:val="center"/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</w:rPr>
                        <m:t>0.</m:t>
                      </m:r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acc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acc>
                    </m:oMath>
                  </m:oMathPara>
                </w:p>
              </w:tc>
            </w:tr>
          </w:tbl>
          <w:p w14:paraId="35654B87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A0F3730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4C4E84F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110D733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E1C715B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6125B6A5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47C12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Zaokruži istinite tvrdnje:</w:t>
            </w:r>
          </w:p>
          <w:p w14:paraId="23D85E29" w14:textId="77777777" w:rsidR="003C2E79" w:rsidRDefault="00000000">
            <w:pPr>
              <w:pStyle w:val="TableContents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2001 djeljiv je s 3.</w:t>
            </w:r>
          </w:p>
          <w:p w14:paraId="3EA11766" w14:textId="77777777" w:rsidR="003C2E79" w:rsidRDefault="00000000">
            <w:pPr>
              <w:pStyle w:val="TableContents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220002 nije djeljiv sa 6.</w:t>
            </w:r>
          </w:p>
          <w:p w14:paraId="450B68FD" w14:textId="77777777" w:rsidR="003C2E79" w:rsidRDefault="00000000">
            <w:pPr>
              <w:pStyle w:val="TableContents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koji završava s 0 djeljiv je s 10.</w:t>
            </w:r>
          </w:p>
          <w:p w14:paraId="61C78FF2" w14:textId="77777777" w:rsidR="003C2E79" w:rsidRDefault="00000000">
            <w:pPr>
              <w:pStyle w:val="TableContents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63 ima 6 djelitelja.</w:t>
            </w:r>
          </w:p>
          <w:p w14:paraId="3FEA0F2E" w14:textId="77777777" w:rsidR="003C2E79" w:rsidRDefault="00000000">
            <w:pPr>
              <w:pStyle w:val="TableContents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nije višekratnik broja 8.</w:t>
            </w:r>
          </w:p>
          <w:p w14:paraId="11553081" w14:textId="77777777" w:rsidR="003C2E79" w:rsidRDefault="00000000">
            <w:pPr>
              <w:pStyle w:val="TableContents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Umnožak 15 i 8 djeljiv je s 20.</w:t>
            </w:r>
          </w:p>
          <w:p w14:paraId="0C3281B5" w14:textId="77777777" w:rsidR="003C2E79" w:rsidRDefault="00000000">
            <w:pPr>
              <w:pStyle w:val="TableContents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ne dijeli broj 125.</w:t>
            </w:r>
          </w:p>
          <w:p w14:paraId="08A6C31E" w14:textId="77777777" w:rsidR="003C2E79" w:rsidRDefault="00000000">
            <w:pPr>
              <w:pStyle w:val="TableContents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19998 je višekratnik broja 2.</w:t>
            </w:r>
          </w:p>
          <w:p w14:paraId="0097F885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56B5FE40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CB7D9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Zaokruži istinite tvrdnje:</w:t>
            </w:r>
          </w:p>
          <w:p w14:paraId="7485F850" w14:textId="77777777" w:rsidR="003C2E79" w:rsidRDefault="00000000">
            <w:pPr>
              <w:pStyle w:val="TableContents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Decimalni zapis iracionalnog broja je beskonačan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neperiodičan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941843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Decimalni zapis razlomka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14</m:t>
                  </m:r>
                </m:den>
              </m:f>
            </m:oMath>
            <w:r>
              <w:rPr>
                <w:rFonts w:ascii="Arial" w:hAnsi="Arial" w:cs="Arial"/>
                <w:sz w:val="22"/>
                <w:szCs w:val="22"/>
              </w:rPr>
              <w:t xml:space="preserve"> je beskonačan čisto periodičan.</w:t>
            </w:r>
          </w:p>
          <w:p w14:paraId="16739E48" w14:textId="77777777" w:rsidR="003C2E79" w:rsidRDefault="00000000">
            <w:pPr>
              <w:pStyle w:val="TableContents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Decimalni zapis razlomka, koji u nazivniku ima samo faktore 2 i 5, je konačan.</w:t>
            </w:r>
          </w:p>
          <w:p w14:paraId="6C8BDEC2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100. znamenka iza decimalne točke u decimalnom zapisu broja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oMath>
            <w:r>
              <w:rPr>
                <w:rFonts w:ascii="Arial" w:hAnsi="Arial" w:cs="Arial"/>
                <w:sz w:val="22"/>
                <w:szCs w:val="22"/>
              </w:rPr>
              <w:t xml:space="preserve"> je 8.</w:t>
            </w:r>
          </w:p>
          <w:p w14:paraId="4CEDB7EE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48EA7A40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7C075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Zaokruži iracionalne brojeve:</w:t>
            </w:r>
          </w:p>
          <w:p w14:paraId="3BCF0EDD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0.7</m:t>
              </m:r>
            </m:oMath>
          </w:p>
          <w:p w14:paraId="1179FD45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0.</m:t>
              </m:r>
              <m:acc>
                <m:accPr>
                  <m:chr m:val="̇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acc>
            </m:oMath>
          </w:p>
          <w:p w14:paraId="0FF5F066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3.14</m:t>
              </m:r>
            </m:oMath>
          </w:p>
          <w:p w14:paraId="69143299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</m:oMath>
          </w:p>
          <w:p w14:paraId="46E6049A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rad>
            </m:oMath>
          </w:p>
          <w:p w14:paraId="014B6CCE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5+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rad>
            </m:oMath>
          </w:p>
          <w:p w14:paraId="4599BAAE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rad>
            </m:oMath>
          </w:p>
          <w:p w14:paraId="359B869F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w:lastRenderedPageBreak/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</m:t>
                  </m:r>
                </m:e>
              </m:rad>
            </m:oMath>
          </w:p>
          <w:p w14:paraId="2A8845CC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7D6FD1DC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0CC9A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Zaokruži neistinite tvrdnje:</w:t>
            </w:r>
          </w:p>
          <w:p w14:paraId="2A962A9B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/>
                </w:rPr>
                <m:t>∩I=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∅</m:t>
              </m:r>
            </m:oMath>
          </w:p>
          <w:p w14:paraId="5DED3D0C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  <m:r>
                <w:rPr>
                  <w:rFonts w:ascii="Cambria Math" w:hAnsi="Cambria Math"/>
                </w:rPr>
                <m:t>∖I=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Q</m:t>
              </m:r>
            </m:oMath>
          </w:p>
          <w:p w14:paraId="714BCCCC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⊇</m:t>
              </m:r>
              <m:r>
                <w:rPr>
                  <w:rFonts w:ascii="Cambria Math" w:hAnsi="Cambria Math"/>
                </w:rPr>
                <m:t>Q</m:t>
              </m:r>
            </m:oMath>
          </w:p>
          <w:p w14:paraId="03FCAD57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N∪Z=Z</m:t>
              </m:r>
            </m:oMath>
          </w:p>
          <w:p w14:paraId="0F92A692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11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N</m:t>
              </m:r>
            </m:oMath>
          </w:p>
          <w:p w14:paraId="080CD8DA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-3.14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R</m:t>
              </m:r>
            </m:oMath>
          </w:p>
          <w:p w14:paraId="6FE7E44E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I</m:t>
              </m:r>
            </m:oMath>
          </w:p>
          <w:p w14:paraId="2E2E7E9F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rad>
              <m:r>
                <w:rPr>
                  <w:rFonts w:ascii="Cambria Math" w:hAnsi="Cambria Math"/>
                </w:rPr>
                <m:t>⋅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∉</m:t>
              </m:r>
              <m:r>
                <w:rPr>
                  <w:rFonts w:ascii="Cambria Math" w:hAnsi="Cambria Math"/>
                </w:rPr>
                <m:t>N</m:t>
              </m:r>
            </m:oMath>
          </w:p>
          <w:p w14:paraId="48BC5E05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6EA0D2FE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2E247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Izračunaj:</w:t>
            </w:r>
          </w:p>
          <w:p w14:paraId="463F9349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500⋅8765⋅2</m:t>
              </m:r>
            </m:oMath>
          </w:p>
          <w:p w14:paraId="10023B07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09F3769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71D9601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34⋅21+20⋅21+21⋅86</m:t>
              </m:r>
            </m:oMath>
          </w:p>
          <w:p w14:paraId="05107C8F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4872568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FB2EE1C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-100+100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:</m:t>
              </m:r>
              <m:r>
                <w:rPr>
                  <w:rFonts w:ascii="Cambria Math" w:hAnsi="Cambria Math"/>
                </w:rPr>
                <m:t>(-4+3⋅(-7))+45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:</m:t>
              </m:r>
              <m:r>
                <w:rPr>
                  <w:rFonts w:ascii="Cambria Math" w:hAnsi="Cambria Math"/>
                </w:rPr>
                <m:t>(-5)</m:t>
              </m:r>
            </m:oMath>
          </w:p>
          <w:p w14:paraId="7E656E27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43FC109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CDD3B47" w14:textId="77777777" w:rsidR="003C2E79" w:rsidRDefault="00000000">
            <w:pPr>
              <w:pStyle w:val="TableContents"/>
              <w:numPr>
                <w:ilvl w:val="1"/>
                <w:numId w:val="2"/>
              </w:num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⋅(-3+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oMath>
          </w:p>
          <w:p w14:paraId="7E37F7CB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42A2141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F4A93DB" w14:textId="77777777" w:rsidR="003C2E79" w:rsidRDefault="00000000">
            <w:pPr>
              <w:pStyle w:val="Standard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-4-(2.8-(4.1-2.53))</m:t>
              </m:r>
            </m:oMath>
          </w:p>
          <w:p w14:paraId="0B16F8DA" w14:textId="77777777" w:rsidR="003C2E79" w:rsidRDefault="003C2E7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B5570D5" w14:textId="77777777" w:rsidR="003C2E79" w:rsidRDefault="003C2E7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7D6403E" w14:textId="77777777" w:rsidR="003C2E79" w:rsidRDefault="00000000">
            <w:pPr>
              <w:pStyle w:val="Standard"/>
              <w:numPr>
                <w:ilvl w:val="1"/>
                <w:numId w:val="2"/>
              </w:num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9.05+0.03⋅65</m:t>
                  </m:r>
                </m:num>
                <m:den>
                  <m:r>
                    <w:rPr>
                      <w:rFonts w:ascii="Cambria Math" w:hAnsi="Cambria Math"/>
                    </w:rPr>
                    <m:t>0.4(2.5-4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den>
              </m:f>
            </m:oMath>
          </w:p>
          <w:p w14:paraId="216B7273" w14:textId="77777777" w:rsidR="003C2E79" w:rsidRDefault="003C2E7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2127D25" w14:textId="77777777" w:rsidR="003C2E79" w:rsidRDefault="003C2E7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A57C657" w14:textId="77777777" w:rsidR="003C2E79" w:rsidRDefault="003C2E7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460BF89" w14:textId="77777777" w:rsidR="003C2E79" w:rsidRDefault="003C2E7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6B25A7D1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B4D84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Na brojevnom pravcu označi točke pridružene brojevima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rFonts w:ascii="Arial" w:hAnsi="Arial" w:cs="Arial"/>
                <w:sz w:val="22"/>
                <w:szCs w:val="22"/>
              </w:rPr>
              <w:t xml:space="preserve"> ,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rFonts w:ascii="Arial" w:hAnsi="Arial" w:cs="Arial"/>
                <w:sz w:val="22"/>
                <w:szCs w:val="22"/>
              </w:rPr>
              <w:t>,</w:t>
            </w:r>
            <m:oMath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rFonts w:ascii="Arial" w:hAnsi="Arial" w:cs="Arial"/>
                <w:sz w:val="22"/>
                <w:szCs w:val="22"/>
              </w:rPr>
              <w:t xml:space="preserve"> i  </w:t>
            </w:r>
            <m:oMath>
              <m:r>
                <w:rPr>
                  <w:rFonts w:ascii="Cambria Math" w:hAnsi="Cambria Math"/>
                </w:rPr>
                <m:t>-3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698284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EC0D951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75DF0AF" w14:textId="77777777" w:rsidR="003C2E79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19" behindDoc="0" locked="0" layoutInCell="1" allowOverlap="1" wp14:anchorId="3E59FFFC" wp14:editId="1DBE3D64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6088320" cy="486360"/>
                  <wp:effectExtent l="0" t="0" r="7680" b="8940"/>
                  <wp:wrapSquare wrapText="bothSides"/>
                  <wp:docPr id="302124158" name="Sl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320" cy="4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9E757F1" w14:textId="77777777" w:rsidR="003C2E79" w:rsidRDefault="003C2E79">
            <w:pPr>
              <w:pStyle w:val="TableContents"/>
            </w:pPr>
          </w:p>
        </w:tc>
      </w:tr>
      <w:tr w:rsidR="003C2E79" w14:paraId="6892402F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3F304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Na brojevnom pravcu označi točke pridružene brojevima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  <w:r>
              <w:rPr>
                <w:rFonts w:ascii="Arial" w:hAnsi="Arial" w:cs="Arial"/>
                <w:sz w:val="22"/>
                <w:szCs w:val="22"/>
              </w:rPr>
              <w:t xml:space="preserve"> , </w:t>
            </w:r>
            <m:oMath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>-3</m:t>
              </m:r>
            </m:oMath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AE9E1F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FF4D18B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E17A9DE" w14:textId="77777777" w:rsidR="003C2E79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51" behindDoc="0" locked="0" layoutInCell="1" allowOverlap="1" wp14:anchorId="2645ECD0" wp14:editId="639AA5FA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6088320" cy="486360"/>
                  <wp:effectExtent l="0" t="0" r="7680" b="8940"/>
                  <wp:wrapSquare wrapText="bothSides"/>
                  <wp:docPr id="1579365446" name="Slika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320" cy="4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DCAAD3" w14:textId="77777777" w:rsidR="003C2E79" w:rsidRDefault="003C2E79">
            <w:pPr>
              <w:pStyle w:val="TableContents"/>
            </w:pPr>
          </w:p>
        </w:tc>
      </w:tr>
      <w:tr w:rsidR="003C2E79" w14:paraId="3DC74E21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53BB1" w14:textId="77777777" w:rsidR="003C2E79" w:rsidRDefault="00000000">
            <w:pPr>
              <w:pStyle w:val="Textbody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Ispiranje oka obavlja se otopinom koncentracije 10 ml dezinficijensa na 1000 ml otopine. U kojem su omjeru:</w:t>
            </w:r>
          </w:p>
          <w:p w14:paraId="3CBFCF5D" w14:textId="77777777" w:rsidR="003C2E79" w:rsidRDefault="00000000">
            <w:pPr>
              <w:pStyle w:val="Textbody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dezinficijens i voda</w:t>
            </w:r>
          </w:p>
          <w:p w14:paraId="2583095D" w14:textId="77777777" w:rsidR="003C2E79" w:rsidRDefault="00000000">
            <w:pPr>
              <w:pStyle w:val="Textbody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dezinficijens i otopina?</w:t>
            </w:r>
          </w:p>
          <w:p w14:paraId="2F0B01D0" w14:textId="77777777" w:rsidR="003C2E79" w:rsidRDefault="003C2E79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  <w:p w14:paraId="545157E9" w14:textId="77777777" w:rsidR="003C2E79" w:rsidRDefault="003C2E79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  <w:p w14:paraId="4FA66D32" w14:textId="77777777" w:rsidR="003C2E79" w:rsidRDefault="003C2E79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  <w:p w14:paraId="3EB7F20D" w14:textId="77777777" w:rsidR="003C2E79" w:rsidRDefault="003C2E79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  <w:p w14:paraId="31CDC33A" w14:textId="77777777" w:rsidR="003C2E79" w:rsidRDefault="003C2E79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4FDD888F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D1B76" w14:textId="77777777" w:rsidR="003C2E79" w:rsidRDefault="00000000">
            <w:pPr>
              <w:pStyle w:val="Textbody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Koliko je a : c ako je a</w:t>
            </w:r>
            <w:bookmarkStart w:id="0" w:name="MathJax-Span-460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bookmarkStart w:id="1" w:name="MathJax-Span-461"/>
            <w:bookmarkEnd w:id="1"/>
            <w:r>
              <w:rPr>
                <w:rFonts w:ascii="Arial" w:hAnsi="Arial" w:cs="Arial"/>
                <w:sz w:val="22"/>
                <w:szCs w:val="22"/>
              </w:rPr>
              <w:t xml:space="preserve"> b</w:t>
            </w:r>
            <w:bookmarkStart w:id="2" w:name="MathJax-Span-462"/>
            <w:bookmarkEnd w:id="2"/>
            <w:r>
              <w:rPr>
                <w:rFonts w:ascii="Arial" w:hAnsi="Arial" w:cs="Arial"/>
                <w:sz w:val="22"/>
                <w:szCs w:val="22"/>
              </w:rPr>
              <w:t xml:space="preserve"> =</w:t>
            </w:r>
            <w:bookmarkStart w:id="3" w:name="MathJax-Span-463"/>
            <w:bookmarkEnd w:id="3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  <w:bookmarkStart w:id="4" w:name="MathJax-Span-464"/>
            <w:bookmarkEnd w:id="4"/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bookmarkStart w:id="5" w:name="MathJax-Span-465"/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 5 i b</w:t>
            </w:r>
            <w:bookmarkStart w:id="6" w:name="MathJax-Span-469"/>
            <w:bookmarkEnd w:id="6"/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bookmarkStart w:id="7" w:name="MathJax-Span-470"/>
            <w:bookmarkEnd w:id="7"/>
            <w:r>
              <w:rPr>
                <w:rFonts w:ascii="Arial" w:hAnsi="Arial" w:cs="Arial"/>
                <w:sz w:val="22"/>
                <w:szCs w:val="22"/>
              </w:rPr>
              <w:t xml:space="preserve"> c</w:t>
            </w:r>
            <w:bookmarkStart w:id="8" w:name="MathJax-Span-471"/>
            <w:bookmarkEnd w:id="8"/>
            <w:r>
              <w:rPr>
                <w:rFonts w:ascii="Arial" w:hAnsi="Arial" w:cs="Arial"/>
                <w:sz w:val="22"/>
                <w:szCs w:val="22"/>
              </w:rPr>
              <w:t xml:space="preserve"> =</w:t>
            </w:r>
            <w:bookmarkStart w:id="9" w:name="MathJax-Span-472"/>
            <w:bookmarkEnd w:id="9"/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  <w:bookmarkStart w:id="10" w:name="MathJax-Span-473"/>
            <w:bookmarkEnd w:id="10"/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bookmarkStart w:id="11" w:name="MathJax-Span-474"/>
            <w:bookmarkEnd w:id="11"/>
            <w:r>
              <w:rPr>
                <w:rFonts w:ascii="Arial" w:hAnsi="Arial" w:cs="Arial"/>
                <w:sz w:val="22"/>
                <w:szCs w:val="22"/>
              </w:rPr>
              <w:t xml:space="preserve"> 8?</w:t>
            </w:r>
          </w:p>
          <w:p w14:paraId="6BE33EAE" w14:textId="77777777" w:rsidR="003C2E79" w:rsidRDefault="003C2E79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  <w:p w14:paraId="07E877A0" w14:textId="77777777" w:rsidR="003C2E79" w:rsidRDefault="003C2E79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  <w:p w14:paraId="7C41E381" w14:textId="77777777" w:rsidR="003C2E79" w:rsidRDefault="003C2E79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  <w:p w14:paraId="06C1B66A" w14:textId="77777777" w:rsidR="003C2E79" w:rsidRDefault="003C2E79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  <w:p w14:paraId="507FBF5F" w14:textId="77777777" w:rsidR="003C2E79" w:rsidRDefault="003C2E79">
            <w:pPr>
              <w:pStyle w:val="Text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549DB5F1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CC91E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Style w:val="Jakonaglaeno"/>
                <w:rFonts w:ascii="Arial" w:hAnsi="Arial" w:cs="Arial"/>
                <w:b w:val="0"/>
                <w:bCs w:val="0"/>
                <w:sz w:val="22"/>
                <w:szCs w:val="22"/>
              </w:rPr>
              <w:t>Marina je na kraju školske godine iz 8 predmeta imala zaključenu ocjenu odličan, iz 5 predmeta vrlo dobar te iz 2 predmeta dobar. S kojim je općim uspjehom Marina završila razred?</w:t>
            </w:r>
          </w:p>
          <w:p w14:paraId="4B4C3E58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7008385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9C26A8B" w14:textId="77777777" w:rsidR="003C2E79" w:rsidRDefault="003C2E79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7E3F8C" w14:textId="77777777" w:rsidR="003C2E79" w:rsidRDefault="003C2E79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58AAD0" w14:textId="77777777" w:rsidR="003C2E79" w:rsidRDefault="003C2E79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C2E79" w14:paraId="59A4F79A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9CA39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Prosječna visina 25 učenika u nekom razredu je 168 cm. Kad se Jura izdvoji, prosječna visina ostalih iznosi 167.5 cm. Koliko je visok Jura?</w:t>
            </w:r>
          </w:p>
          <w:p w14:paraId="2CAFC739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E7A995D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05A85CF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BCC4E4F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7E50D22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935A26D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31F14A13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BBE24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Cijena neke knjige poraste za 20 % a nakon nekog vremena ta se nova cijena umanji za 25 %. Kolika je konačna cijena u odnosu na početnu izraženo u postotcima?</w:t>
            </w:r>
          </w:p>
          <w:p w14:paraId="457A33D5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C235A87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354D950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921BE09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E842F5E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01A09A7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E79" w14:paraId="52B0C585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37EDE" w14:textId="77777777" w:rsidR="003C2E79" w:rsidRDefault="00000000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2"/>
                <w:szCs w:val="22"/>
              </w:rPr>
              <w:t>U nekoj školi 55 % svih učenika su djevojčice. Ostalo su dječaci i njih je za 60 manje nego djevojčica. Koliko je učenika u toj školi?</w:t>
            </w:r>
          </w:p>
          <w:p w14:paraId="5116B475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F15D3FA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372181B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B138812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757E038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141C1B4" w14:textId="77777777" w:rsidR="003C2E79" w:rsidRDefault="003C2E7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9662D2" w14:textId="77777777" w:rsidR="003C2E79" w:rsidRDefault="003C2E79">
      <w:pPr>
        <w:pStyle w:val="Standard"/>
        <w:rPr>
          <w:rFonts w:ascii="Arial" w:hAnsi="Arial" w:cs="Arial"/>
          <w:sz w:val="22"/>
          <w:szCs w:val="22"/>
        </w:rPr>
      </w:pPr>
    </w:p>
    <w:sectPr w:rsidR="003C2E79">
      <w:pgSz w:w="11906" w:h="16838"/>
      <w:pgMar w:top="680" w:right="680" w:bottom="822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2B52" w14:textId="77777777" w:rsidR="00A269DC" w:rsidRDefault="00A269DC">
      <w:r>
        <w:separator/>
      </w:r>
    </w:p>
  </w:endnote>
  <w:endnote w:type="continuationSeparator" w:id="0">
    <w:p w14:paraId="78197CB6" w14:textId="77777777" w:rsidR="00A269DC" w:rsidRDefault="00A2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A48B" w14:textId="77777777" w:rsidR="00A269DC" w:rsidRDefault="00A269DC">
      <w:r>
        <w:rPr>
          <w:color w:val="000000"/>
        </w:rPr>
        <w:separator/>
      </w:r>
    </w:p>
  </w:footnote>
  <w:footnote w:type="continuationSeparator" w:id="0">
    <w:p w14:paraId="7D3B7805" w14:textId="77777777" w:rsidR="00A269DC" w:rsidRDefault="00A2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995"/>
    <w:multiLevelType w:val="multilevel"/>
    <w:tmpl w:val="9C50191C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" w15:restartNumberingAfterBreak="0">
    <w:nsid w:val="43A2510E"/>
    <w:multiLevelType w:val="multilevel"/>
    <w:tmpl w:val="B0CAD89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7A76513"/>
    <w:multiLevelType w:val="multilevel"/>
    <w:tmpl w:val="AA46B3D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B685C67"/>
    <w:multiLevelType w:val="multilevel"/>
    <w:tmpl w:val="2B9A34D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173450268">
    <w:abstractNumId w:val="0"/>
  </w:num>
  <w:num w:numId="2" w16cid:durableId="321585213">
    <w:abstractNumId w:val="2"/>
  </w:num>
  <w:num w:numId="3" w16cid:durableId="842284546">
    <w:abstractNumId w:val="3"/>
  </w:num>
  <w:num w:numId="4" w16cid:durableId="171870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3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2E79"/>
    <w:rsid w:val="001F46F1"/>
    <w:rsid w:val="003C2E79"/>
    <w:rsid w:val="007679D3"/>
    <w:rsid w:val="00A2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362F"/>
  <w15:docId w15:val="{A2532A3E-70F1-40F9-A8AE-CEBA7F30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Normal"/>
    <w:pPr>
      <w:suppressAutoHyphens w:val="0"/>
      <w:textAlignment w:val="auto"/>
    </w:pPr>
  </w:style>
  <w:style w:type="paragraph" w:styleId="Popis">
    <w:name w:val="List"/>
    <w:basedOn w:val="Textbody"/>
    <w:pPr>
      <w:suppressAutoHyphens/>
    </w:pPr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  <w:suppressAutoHyphens w:val="0"/>
      <w:textAlignment w:val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TijelotekstaChar">
    <w:name w:val="Tijelo teksta Char"/>
    <w:basedOn w:val="Zadanifontodlomka"/>
    <w:rPr>
      <w:kern w:val="3"/>
    </w:rPr>
  </w:style>
  <w:style w:type="character" w:customStyle="1" w:styleId="Jakonaglaeno">
    <w:name w:val="Jako naglašeno"/>
    <w:rPr>
      <w:b/>
      <w:bCs/>
    </w:rPr>
  </w:style>
  <w:style w:type="numbering" w:customStyle="1" w:styleId="Numbering123">
    <w:name w:val="Numbering 123"/>
    <w:basedOn w:val="Bezpopis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Ikić</cp:lastModifiedBy>
  <cp:revision>2</cp:revision>
  <dcterms:created xsi:type="dcterms:W3CDTF">2025-08-24T07:30:00Z</dcterms:created>
  <dcterms:modified xsi:type="dcterms:W3CDTF">2025-08-24T07:30:00Z</dcterms:modified>
</cp:coreProperties>
</file>